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B" w:rsidRDefault="00127D5B" w:rsidP="00127D5B">
      <w:pPr>
        <w:widowControl w:val="0"/>
        <w:rPr>
          <w:rFonts w:cs="Arial"/>
        </w:rPr>
      </w:pPr>
      <w:r>
        <w:rPr>
          <w:rFonts w:cs="Arial"/>
        </w:rPr>
        <w:t>.</w:t>
      </w:r>
    </w:p>
    <w:p w:rsidR="00664F81" w:rsidRDefault="00664F81" w:rsidP="00664F81">
      <w:pPr>
        <w:widowControl w:val="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PROPUESTAS</w:t>
      </w:r>
    </w:p>
    <w:p w:rsidR="00127D5B" w:rsidRPr="00664F81" w:rsidRDefault="00664F81" w:rsidP="00664F81">
      <w:pPr>
        <w:widowControl w:val="0"/>
        <w:jc w:val="center"/>
        <w:rPr>
          <w:rFonts w:cs="Arial"/>
          <w:b/>
          <w:sz w:val="32"/>
        </w:rPr>
      </w:pPr>
      <w:r w:rsidRPr="00664F81">
        <w:rPr>
          <w:rFonts w:cs="Arial"/>
          <w:b/>
          <w:sz w:val="32"/>
        </w:rPr>
        <w:t>Comisió</w:t>
      </w:r>
      <w:r>
        <w:rPr>
          <w:rFonts w:cs="Arial"/>
          <w:b/>
          <w:sz w:val="32"/>
        </w:rPr>
        <w:t xml:space="preserve">n </w:t>
      </w:r>
      <w:r w:rsidR="00127D5B">
        <w:rPr>
          <w:rFonts w:cs="Arial"/>
          <w:b/>
          <w:sz w:val="32"/>
        </w:rPr>
        <w:t xml:space="preserve">Asesora Presidencial </w:t>
      </w:r>
      <w:r>
        <w:rPr>
          <w:rFonts w:cs="Arial"/>
          <w:b/>
          <w:sz w:val="32"/>
        </w:rPr>
        <w:t>c</w:t>
      </w:r>
      <w:r w:rsidRPr="00664F81">
        <w:rPr>
          <w:rFonts w:cs="Arial"/>
          <w:b/>
          <w:sz w:val="32"/>
        </w:rPr>
        <w:t xml:space="preserve">ontra </w:t>
      </w:r>
      <w:r>
        <w:rPr>
          <w:rFonts w:cs="Arial"/>
          <w:b/>
          <w:sz w:val="32"/>
        </w:rPr>
        <w:t xml:space="preserve">el </w:t>
      </w:r>
      <w:r w:rsidRPr="00664F81">
        <w:rPr>
          <w:rFonts w:cs="Arial"/>
          <w:b/>
          <w:sz w:val="32"/>
        </w:rPr>
        <w:t>Trá</w:t>
      </w:r>
      <w:r>
        <w:rPr>
          <w:rFonts w:cs="Arial"/>
          <w:b/>
          <w:sz w:val="32"/>
        </w:rPr>
        <w:t>fico d</w:t>
      </w:r>
      <w:r w:rsidRPr="00664F81">
        <w:rPr>
          <w:rFonts w:cs="Arial"/>
          <w:b/>
          <w:sz w:val="32"/>
        </w:rPr>
        <w:t>e Influencias, Conflictos</w:t>
      </w:r>
      <w:r>
        <w:rPr>
          <w:rFonts w:cs="Arial"/>
          <w:b/>
          <w:sz w:val="32"/>
        </w:rPr>
        <w:t xml:space="preserve"> d</w:t>
      </w:r>
      <w:r w:rsidRPr="00664F81">
        <w:rPr>
          <w:rFonts w:cs="Arial"/>
          <w:b/>
          <w:sz w:val="32"/>
        </w:rPr>
        <w:t>e Interés</w:t>
      </w:r>
      <w:r>
        <w:rPr>
          <w:rFonts w:cs="Arial"/>
          <w:b/>
          <w:sz w:val="32"/>
        </w:rPr>
        <w:t xml:space="preserve"> y</w:t>
      </w:r>
      <w:r w:rsidRPr="00664F81">
        <w:rPr>
          <w:rFonts w:cs="Arial"/>
          <w:b/>
          <w:sz w:val="32"/>
        </w:rPr>
        <w:t xml:space="preserve"> Corrupción</w:t>
      </w:r>
    </w:p>
    <w:p w:rsidR="00664F81" w:rsidRDefault="00664F81" w:rsidP="00127D5B">
      <w:pPr>
        <w:widowControl w:val="0"/>
        <w:rPr>
          <w:rFonts w:cs="Arial"/>
        </w:rPr>
      </w:pPr>
    </w:p>
    <w:p w:rsidR="00664F81" w:rsidRDefault="00664F81" w:rsidP="00664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Corporación Privada para el Desarrollo de Aysén</w:t>
      </w:r>
    </w:p>
    <w:p w:rsidR="00127D5B" w:rsidRDefault="00127D5B" w:rsidP="00127D5B">
      <w:pPr>
        <w:widowControl w:val="0"/>
        <w:rPr>
          <w:rFonts w:cs="Arial"/>
        </w:rPr>
      </w:pPr>
    </w:p>
    <w:p w:rsidR="00616222" w:rsidRPr="00616222" w:rsidRDefault="00616222" w:rsidP="00616222">
      <w:pPr>
        <w:widowControl w:val="0"/>
        <w:rPr>
          <w:rFonts w:cs="Arial"/>
        </w:rPr>
      </w:pPr>
    </w:p>
    <w:p w:rsidR="00616222" w:rsidRPr="00127D5B" w:rsidRDefault="00616222" w:rsidP="00954A48">
      <w:pPr>
        <w:widowControl w:val="0"/>
        <w:jc w:val="both"/>
        <w:rPr>
          <w:rFonts w:cs="Arial"/>
          <w:b/>
          <w:u w:val="single"/>
        </w:rPr>
      </w:pPr>
      <w:r w:rsidRPr="00127D5B">
        <w:rPr>
          <w:rFonts w:cs="Arial"/>
          <w:b/>
          <w:u w:val="single"/>
        </w:rPr>
        <w:t>Diagnóstico:</w:t>
      </w:r>
    </w:p>
    <w:p w:rsidR="00127D5B" w:rsidRDefault="00127D5B" w:rsidP="00954A48">
      <w:pPr>
        <w:widowControl w:val="0"/>
        <w:ind w:firstLine="360"/>
        <w:jc w:val="both"/>
        <w:rPr>
          <w:rFonts w:cs="Arial"/>
        </w:rPr>
      </w:pPr>
    </w:p>
    <w:p w:rsidR="00127D5B" w:rsidRDefault="00127D5B" w:rsidP="00954A48">
      <w:pPr>
        <w:widowControl w:val="0"/>
        <w:ind w:firstLine="360"/>
        <w:jc w:val="both"/>
        <w:rPr>
          <w:rFonts w:cs="Arial"/>
        </w:rPr>
      </w:pPr>
      <w:r w:rsidRPr="00127D5B">
        <w:rPr>
          <w:rFonts w:cs="Arial"/>
        </w:rPr>
        <w:t xml:space="preserve">Los tres componentes que involucran el mandato de la comisión </w:t>
      </w:r>
      <w:r w:rsidR="001E1DB8">
        <w:rPr>
          <w:rFonts w:cs="Arial"/>
        </w:rPr>
        <w:t>(</w:t>
      </w:r>
      <w:r w:rsidR="00954A48" w:rsidRPr="00954A48">
        <w:rPr>
          <w:rFonts w:cs="Arial"/>
          <w:u w:val="single"/>
        </w:rPr>
        <w:t>negocios</w:t>
      </w:r>
      <w:r w:rsidR="00954A48">
        <w:rPr>
          <w:rFonts w:cs="Arial"/>
        </w:rPr>
        <w:t xml:space="preserve">, </w:t>
      </w:r>
      <w:r w:rsidR="00954A48" w:rsidRPr="00954A48">
        <w:rPr>
          <w:rFonts w:cs="Arial"/>
          <w:u w:val="single"/>
        </w:rPr>
        <w:t>política</w:t>
      </w:r>
      <w:r w:rsidR="00954A48">
        <w:rPr>
          <w:rFonts w:cs="Arial"/>
        </w:rPr>
        <w:t xml:space="preserve">, </w:t>
      </w:r>
      <w:r w:rsidR="00954A48" w:rsidRPr="00954A48">
        <w:rPr>
          <w:rFonts w:cs="Arial"/>
          <w:u w:val="single"/>
        </w:rPr>
        <w:t>servicio público</w:t>
      </w:r>
      <w:r w:rsidR="00954A48">
        <w:rPr>
          <w:rFonts w:cs="Arial"/>
        </w:rPr>
        <w:t xml:space="preserve">) </w:t>
      </w:r>
      <w:r w:rsidRPr="00127D5B">
        <w:rPr>
          <w:rFonts w:cs="Arial"/>
        </w:rPr>
        <w:t xml:space="preserve">no pueden restringirse exclusivamente a la relación dinero/política, cuando </w:t>
      </w:r>
      <w:r w:rsidR="00954A48">
        <w:rPr>
          <w:rFonts w:cs="Arial"/>
        </w:rPr>
        <w:t xml:space="preserve">las acciones de corrupción </w:t>
      </w:r>
      <w:r w:rsidRPr="00127D5B">
        <w:rPr>
          <w:rFonts w:cs="Arial"/>
        </w:rPr>
        <w:t xml:space="preserve">cruzan una parte importante de </w:t>
      </w:r>
      <w:r>
        <w:rPr>
          <w:rFonts w:cs="Arial"/>
        </w:rPr>
        <w:t>nuestra sociedad</w:t>
      </w:r>
      <w:r w:rsidRPr="00127D5B">
        <w:rPr>
          <w:rFonts w:cs="Arial"/>
        </w:rPr>
        <w:t>.</w:t>
      </w:r>
      <w:r>
        <w:rPr>
          <w:rFonts w:cs="Arial"/>
        </w:rPr>
        <w:t xml:space="preserve">  </w:t>
      </w:r>
      <w:r w:rsidRPr="00127D5B">
        <w:rPr>
          <w:rFonts w:cs="Arial"/>
        </w:rPr>
        <w:t xml:space="preserve">El </w:t>
      </w:r>
      <w:r>
        <w:rPr>
          <w:rFonts w:cs="Arial"/>
        </w:rPr>
        <w:t xml:space="preserve">mundo de la empresa privada –particularmente las </w:t>
      </w:r>
      <w:r w:rsidR="00954A48">
        <w:rPr>
          <w:rFonts w:cs="Arial"/>
        </w:rPr>
        <w:t xml:space="preserve">responsables </w:t>
      </w:r>
      <w:r>
        <w:rPr>
          <w:rFonts w:cs="Arial"/>
        </w:rPr>
        <w:t xml:space="preserve">de la provisión de derechos sociales </w:t>
      </w:r>
      <w:r w:rsidR="00954A48">
        <w:rPr>
          <w:rFonts w:cs="Arial"/>
        </w:rPr>
        <w:t>(</w:t>
      </w:r>
      <w:proofErr w:type="spellStart"/>
      <w:r w:rsidR="00954A48">
        <w:rPr>
          <w:rFonts w:cs="Arial"/>
        </w:rPr>
        <w:t>pej</w:t>
      </w:r>
      <w:proofErr w:type="spellEnd"/>
      <w:r w:rsidR="00954A48">
        <w:rPr>
          <w:rFonts w:cs="Arial"/>
        </w:rPr>
        <w:t xml:space="preserve">., </w:t>
      </w:r>
      <w:r>
        <w:rPr>
          <w:rFonts w:cs="Arial"/>
        </w:rPr>
        <w:t>como educación y seguridad social</w:t>
      </w:r>
      <w:r w:rsidR="00954A48">
        <w:rPr>
          <w:rFonts w:cs="Arial"/>
        </w:rPr>
        <w:t>)</w:t>
      </w:r>
      <w:r>
        <w:rPr>
          <w:rFonts w:cs="Arial"/>
        </w:rPr>
        <w:t xml:space="preserve"> y bienes públicos </w:t>
      </w:r>
      <w:r w:rsidR="00954A48">
        <w:rPr>
          <w:rFonts w:cs="Arial"/>
        </w:rPr>
        <w:t>(</w:t>
      </w:r>
      <w:proofErr w:type="spellStart"/>
      <w:r w:rsidR="00954A48">
        <w:rPr>
          <w:rFonts w:cs="Arial"/>
        </w:rPr>
        <w:t>pej</w:t>
      </w:r>
      <w:proofErr w:type="spellEnd"/>
      <w:r w:rsidR="00954A48">
        <w:rPr>
          <w:rFonts w:cs="Arial"/>
        </w:rPr>
        <w:t xml:space="preserve">., </w:t>
      </w:r>
      <w:r>
        <w:rPr>
          <w:rFonts w:cs="Arial"/>
        </w:rPr>
        <w:t>energía y agua</w:t>
      </w:r>
      <w:r w:rsidR="00954A48">
        <w:rPr>
          <w:rFonts w:cs="Arial"/>
        </w:rPr>
        <w:t>)</w:t>
      </w:r>
      <w:r>
        <w:rPr>
          <w:rFonts w:cs="Arial"/>
        </w:rPr>
        <w:t xml:space="preserve">- está permeado por relaciones que se dan en un marco de desigualdad.  Aprovechando, en cierta medida, </w:t>
      </w:r>
      <w:r w:rsidR="00954A48">
        <w:rPr>
          <w:rFonts w:cs="Arial"/>
        </w:rPr>
        <w:t xml:space="preserve">las </w:t>
      </w:r>
      <w:r>
        <w:rPr>
          <w:rFonts w:cs="Arial"/>
        </w:rPr>
        <w:t>necesidad</w:t>
      </w:r>
      <w:r w:rsidR="00954A48">
        <w:rPr>
          <w:rFonts w:cs="Arial"/>
        </w:rPr>
        <w:t>es</w:t>
      </w:r>
      <w:r>
        <w:rPr>
          <w:rFonts w:cs="Arial"/>
        </w:rPr>
        <w:t xml:space="preserve"> de la población </w:t>
      </w:r>
      <w:r w:rsidR="00954A48">
        <w:rPr>
          <w:rFonts w:cs="Arial"/>
        </w:rPr>
        <w:t xml:space="preserve">en beneficio de </w:t>
      </w:r>
      <w:r>
        <w:rPr>
          <w:rFonts w:cs="Arial"/>
        </w:rPr>
        <w:t>intereses privados.</w:t>
      </w:r>
    </w:p>
    <w:p w:rsidR="00127D5B" w:rsidRDefault="00127D5B" w:rsidP="00954A48">
      <w:pPr>
        <w:widowControl w:val="0"/>
        <w:ind w:firstLine="360"/>
        <w:jc w:val="both"/>
        <w:rPr>
          <w:rFonts w:cs="Arial"/>
        </w:rPr>
      </w:pPr>
    </w:p>
    <w:p w:rsidR="00127D5B" w:rsidRDefault="00127D5B" w:rsidP="00954A48">
      <w:pPr>
        <w:widowControl w:val="0"/>
        <w:ind w:firstLine="360"/>
        <w:jc w:val="both"/>
        <w:rPr>
          <w:rFonts w:cs="Arial"/>
        </w:rPr>
      </w:pPr>
      <w:r>
        <w:rPr>
          <w:rFonts w:cs="Arial"/>
        </w:rPr>
        <w:t xml:space="preserve">El clientelismo, que se entiende como la cooptación de la comunidad en </w:t>
      </w:r>
      <w:r w:rsidR="00954A48">
        <w:rPr>
          <w:rFonts w:cs="Arial"/>
        </w:rPr>
        <w:t>pro de los intereses de terceros</w:t>
      </w:r>
      <w:r>
        <w:rPr>
          <w:rFonts w:cs="Arial"/>
        </w:rPr>
        <w:t xml:space="preserve"> –</w:t>
      </w:r>
      <w:r w:rsidR="00954A48">
        <w:rPr>
          <w:rFonts w:cs="Arial"/>
        </w:rPr>
        <w:t xml:space="preserve">actor </w:t>
      </w:r>
      <w:r>
        <w:rPr>
          <w:rFonts w:cs="Arial"/>
        </w:rPr>
        <w:t>político</w:t>
      </w:r>
      <w:r w:rsidR="00954A48">
        <w:rPr>
          <w:rFonts w:cs="Arial"/>
        </w:rPr>
        <w:t xml:space="preserve"> y/o empresarial</w:t>
      </w:r>
      <w:r>
        <w:rPr>
          <w:rFonts w:cs="Arial"/>
        </w:rPr>
        <w:t>- aprovecha las carencias esenciales de la población para su beneficio particular.  De esta forma, decisiones que debieran ser libres e informadas se adoptan sobre la base del estímulo material particular y no del interés general.  Eso ocurre en materia de elecciones, participación ciudadana, movilización social.</w:t>
      </w:r>
    </w:p>
    <w:p w:rsidR="00127D5B" w:rsidRDefault="00127D5B" w:rsidP="00954A48">
      <w:pPr>
        <w:widowControl w:val="0"/>
        <w:ind w:firstLine="360"/>
        <w:jc w:val="both"/>
        <w:rPr>
          <w:rFonts w:cs="Arial"/>
        </w:rPr>
      </w:pPr>
    </w:p>
    <w:p w:rsidR="00127D5B" w:rsidRDefault="00127D5B" w:rsidP="00954A48">
      <w:pPr>
        <w:widowControl w:val="0"/>
        <w:ind w:firstLine="360"/>
        <w:jc w:val="both"/>
        <w:rPr>
          <w:rFonts w:cs="Arial"/>
        </w:rPr>
      </w:pPr>
      <w:r>
        <w:rPr>
          <w:rFonts w:cs="Arial"/>
        </w:rPr>
        <w:t xml:space="preserve">El </w:t>
      </w:r>
      <w:r w:rsidRPr="00127D5B">
        <w:rPr>
          <w:rFonts w:cs="Arial"/>
        </w:rPr>
        <w:t>Decreto 2 de 2015 del Ministerio Secretaría General de la Presidencia, que dio vida al consejo, fue claro en el mandato: “</w:t>
      </w:r>
      <w:r w:rsidRPr="00127D5B">
        <w:rPr>
          <w:rFonts w:cs="Arial"/>
          <w:i/>
        </w:rPr>
        <w:t>Proponer un nuevo marco normativo, que permita el cumplimiento efectivo de los principios éticos, de integridad y transparencia, en sus aspectos legales y administrativos para logar el eficaz control del tráfico de influencias, prevención de la corrupción y de los conflictos de interés en los ámbitos de los negocios, la política y el servicio público, así como en la relación entre éstos</w:t>
      </w:r>
      <w:r w:rsidRPr="00127D5B">
        <w:rPr>
          <w:rFonts w:cs="Arial"/>
        </w:rPr>
        <w:t>”.</w:t>
      </w:r>
    </w:p>
    <w:p w:rsidR="00057B39" w:rsidRDefault="00057B39" w:rsidP="00954A48">
      <w:pPr>
        <w:pStyle w:val="Prrafodelista"/>
        <w:widowControl w:val="0"/>
        <w:jc w:val="both"/>
        <w:rPr>
          <w:rFonts w:cs="Arial"/>
        </w:rPr>
      </w:pPr>
    </w:p>
    <w:p w:rsidR="00057B39" w:rsidRDefault="00057B39" w:rsidP="00954A48">
      <w:pPr>
        <w:pStyle w:val="Prrafodelista"/>
        <w:widowControl w:val="0"/>
        <w:ind w:left="0" w:firstLine="426"/>
        <w:jc w:val="both"/>
        <w:rPr>
          <w:rFonts w:cs="Arial"/>
        </w:rPr>
      </w:pPr>
      <w:r>
        <w:rPr>
          <w:rFonts w:cs="Arial"/>
        </w:rPr>
        <w:t xml:space="preserve">Bajo este prisma, creemos fundamental la regulación de la relación entre la empresa privada y los políticos con comunidades </w:t>
      </w:r>
      <w:proofErr w:type="spellStart"/>
      <w:r>
        <w:rPr>
          <w:rFonts w:cs="Arial"/>
        </w:rPr>
        <w:t>carenciadas</w:t>
      </w:r>
      <w:proofErr w:type="spellEnd"/>
      <w:r>
        <w:rPr>
          <w:rFonts w:cs="Arial"/>
        </w:rPr>
        <w:t>, muchas de ellas encubiertas baj</w:t>
      </w:r>
      <w:r w:rsidR="00613475">
        <w:rPr>
          <w:rFonts w:cs="Arial"/>
        </w:rPr>
        <w:t>o el concepto de responsabilidad</w:t>
      </w:r>
      <w:r>
        <w:rPr>
          <w:rFonts w:cs="Arial"/>
        </w:rPr>
        <w:t xml:space="preserve"> social empresarial.</w:t>
      </w:r>
    </w:p>
    <w:p w:rsidR="00057B39" w:rsidRDefault="00057B39" w:rsidP="00954A48">
      <w:pPr>
        <w:pStyle w:val="Prrafodelista"/>
        <w:widowControl w:val="0"/>
        <w:jc w:val="both"/>
        <w:rPr>
          <w:rFonts w:cs="Arial"/>
        </w:rPr>
      </w:pPr>
    </w:p>
    <w:p w:rsidR="00616222" w:rsidRPr="00616222" w:rsidRDefault="00616222" w:rsidP="00954A48">
      <w:pPr>
        <w:widowControl w:val="0"/>
        <w:jc w:val="both"/>
        <w:rPr>
          <w:rFonts w:cs="Arial"/>
        </w:rPr>
      </w:pPr>
    </w:p>
    <w:p w:rsidR="00616222" w:rsidRPr="001E1DB8" w:rsidRDefault="00616222" w:rsidP="00954A48">
      <w:pPr>
        <w:widowControl w:val="0"/>
        <w:jc w:val="both"/>
        <w:rPr>
          <w:rFonts w:cs="Arial"/>
          <w:b/>
        </w:rPr>
      </w:pPr>
      <w:r w:rsidRPr="001E1DB8">
        <w:rPr>
          <w:rFonts w:cs="Arial"/>
          <w:b/>
        </w:rPr>
        <w:t>Propuestas:</w:t>
      </w:r>
    </w:p>
    <w:p w:rsidR="00057B39" w:rsidRDefault="00057B39" w:rsidP="00954A48">
      <w:pPr>
        <w:pStyle w:val="Prrafodelista"/>
        <w:widowControl w:val="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Sector privado:</w:t>
      </w:r>
    </w:p>
    <w:p w:rsidR="00613475" w:rsidRDefault="00613475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Los estudios de impacto ambiental son elaborados por consultoras contratadas directamente por las propias empresas.  Se propone que el </w:t>
      </w:r>
      <w:r w:rsidRPr="00954A48">
        <w:rPr>
          <w:rFonts w:cs="Arial"/>
          <w:b/>
        </w:rPr>
        <w:t xml:space="preserve">financiamiento </w:t>
      </w:r>
      <w:r w:rsidR="00954A48" w:rsidRPr="00954A48">
        <w:rPr>
          <w:rFonts w:cs="Arial"/>
          <w:b/>
        </w:rPr>
        <w:t xml:space="preserve">provenga </w:t>
      </w:r>
      <w:r w:rsidRPr="00954A48">
        <w:rPr>
          <w:rFonts w:cs="Arial"/>
          <w:b/>
        </w:rPr>
        <w:t xml:space="preserve">de las empresas, pero que la gestión del EIA sea </w:t>
      </w:r>
      <w:r w:rsidR="00954A48">
        <w:rPr>
          <w:rFonts w:cs="Arial"/>
          <w:b/>
        </w:rPr>
        <w:t xml:space="preserve">realizado </w:t>
      </w:r>
      <w:r w:rsidRPr="00954A48">
        <w:rPr>
          <w:rFonts w:cs="Arial"/>
          <w:b/>
        </w:rPr>
        <w:t>directamente por el Servicio de Evaluación Ambiental</w:t>
      </w:r>
      <w:r>
        <w:rPr>
          <w:rFonts w:cs="Arial"/>
        </w:rPr>
        <w:t>.</w:t>
      </w:r>
    </w:p>
    <w:p w:rsidR="00214A65" w:rsidRDefault="00C6301C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Debe </w:t>
      </w:r>
      <w:r w:rsidRPr="00954A48">
        <w:rPr>
          <w:rFonts w:cs="Arial"/>
          <w:b/>
        </w:rPr>
        <w:t xml:space="preserve">prohibirse la transferencia de recursos económicos de empresas a las comunidades, municipios y fundaciones de comunas, provincias o regiones donde vayan a </w:t>
      </w:r>
      <w:r w:rsidR="00214A65" w:rsidRPr="00954A48">
        <w:rPr>
          <w:rFonts w:cs="Arial"/>
          <w:b/>
        </w:rPr>
        <w:t>presentar estudios de impacto ambiental</w:t>
      </w:r>
      <w:r w:rsidR="00214A65">
        <w:rPr>
          <w:rFonts w:cs="Arial"/>
        </w:rPr>
        <w:t xml:space="preserve">.  Menos aún donde corresponda </w:t>
      </w:r>
      <w:r w:rsidR="00954A48">
        <w:rPr>
          <w:rFonts w:cs="Arial"/>
        </w:rPr>
        <w:t xml:space="preserve">ejecutar acciones de participación ciudadana en el marco del SEIA </w:t>
      </w:r>
      <w:r w:rsidR="00214A65">
        <w:rPr>
          <w:rFonts w:cs="Arial"/>
        </w:rPr>
        <w:t>.</w:t>
      </w:r>
    </w:p>
    <w:p w:rsidR="00214A65" w:rsidRDefault="00214A65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Prohibir la </w:t>
      </w:r>
      <w:r w:rsidRPr="00954A48">
        <w:rPr>
          <w:rFonts w:cs="Arial"/>
          <w:b/>
        </w:rPr>
        <w:t xml:space="preserve">suscripción de convenios entre servicios públicos y empresas </w:t>
      </w:r>
      <w:r>
        <w:rPr>
          <w:rFonts w:cs="Arial"/>
        </w:rPr>
        <w:t>con estudios de impacto ambiental en evaluación.</w:t>
      </w:r>
    </w:p>
    <w:p w:rsidR="00616222" w:rsidRPr="00616222" w:rsidRDefault="001608C7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Generar </w:t>
      </w:r>
      <w:r w:rsidRPr="007960D7">
        <w:rPr>
          <w:rFonts w:cs="Arial"/>
          <w:b/>
        </w:rPr>
        <w:t>ordenamiento territorial vinculante</w:t>
      </w:r>
      <w:r>
        <w:rPr>
          <w:rFonts w:cs="Arial"/>
        </w:rPr>
        <w:t xml:space="preserve">, que evitaría que proyectos no acordes con vocaciones territoriales –y </w:t>
      </w:r>
      <w:r w:rsidR="00505D34">
        <w:rPr>
          <w:rFonts w:cs="Arial"/>
        </w:rPr>
        <w:t xml:space="preserve">que por tanto estarían motivados a ejercer presiones </w:t>
      </w:r>
      <w:r>
        <w:rPr>
          <w:rFonts w:cs="Arial"/>
        </w:rPr>
        <w:t>de distinto tipo- se puedan desarrollar.</w:t>
      </w:r>
    </w:p>
    <w:p w:rsidR="00057B39" w:rsidRDefault="00057B39" w:rsidP="00954A48">
      <w:pPr>
        <w:widowControl w:val="0"/>
        <w:jc w:val="both"/>
        <w:rPr>
          <w:rFonts w:cs="Arial"/>
        </w:rPr>
      </w:pPr>
    </w:p>
    <w:p w:rsidR="00057B39" w:rsidRDefault="00057B39" w:rsidP="00954A48">
      <w:pPr>
        <w:pStyle w:val="Prrafodelista"/>
        <w:widowControl w:val="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Política:</w:t>
      </w:r>
    </w:p>
    <w:p w:rsidR="00214A65" w:rsidRDefault="00214A65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 w:rsidRPr="007960D7">
        <w:rPr>
          <w:rFonts w:cs="Arial"/>
          <w:b/>
        </w:rPr>
        <w:t>Eliminar la posibilidad que tienen los candidatos de rendir “</w:t>
      </w:r>
      <w:r w:rsidRPr="007960D7">
        <w:rPr>
          <w:rFonts w:cs="Arial"/>
          <w:b/>
          <w:i/>
        </w:rPr>
        <w:t>las erogaciones o donaciones realizadas por los candidatos a organizaciones o a personas naturales o jurídicas, mediante el patrocinio de actos culturales, deportivos o de cualquier otro tipo a celebrarse dentro del ámbito territorial respectivo</w:t>
      </w:r>
      <w:r w:rsidRPr="007960D7">
        <w:rPr>
          <w:rFonts w:cs="Arial"/>
          <w:b/>
        </w:rPr>
        <w:t>”</w:t>
      </w:r>
      <w:r>
        <w:rPr>
          <w:rFonts w:cs="Arial"/>
        </w:rPr>
        <w:t xml:space="preserve"> que estipula la </w:t>
      </w:r>
      <w:r w:rsidRPr="00214A65">
        <w:rPr>
          <w:rFonts w:cs="Arial"/>
        </w:rPr>
        <w:t xml:space="preserve">Ley 19.884 sobre transparencia, límite y control del gasto electoral. </w:t>
      </w:r>
      <w:r>
        <w:rPr>
          <w:rFonts w:cs="Arial"/>
        </w:rPr>
        <w:t xml:space="preserve"> No hay justificación alguna para que un candidato entregue recursos económicos a una organización o los ciudadanos en el marco de su campaña.</w:t>
      </w:r>
    </w:p>
    <w:p w:rsidR="00B54D06" w:rsidRPr="007960D7" w:rsidRDefault="00214A65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  <w:b/>
        </w:rPr>
      </w:pPr>
      <w:r w:rsidRPr="007960D7">
        <w:rPr>
          <w:rFonts w:cs="Arial"/>
          <w:b/>
        </w:rPr>
        <w:t xml:space="preserve">Eliminar los </w:t>
      </w:r>
      <w:r w:rsidR="007960D7">
        <w:rPr>
          <w:rFonts w:cs="Arial"/>
          <w:b/>
        </w:rPr>
        <w:t xml:space="preserve">aportes </w:t>
      </w:r>
      <w:r w:rsidRPr="007960D7">
        <w:rPr>
          <w:rFonts w:cs="Arial"/>
          <w:b/>
        </w:rPr>
        <w:t>reservados y anónimos</w:t>
      </w:r>
      <w:r w:rsidR="007960D7">
        <w:rPr>
          <w:rFonts w:cs="Arial"/>
          <w:b/>
        </w:rPr>
        <w:t xml:space="preserve"> a las campañas políticas.</w:t>
      </w:r>
    </w:p>
    <w:p w:rsidR="00B54D06" w:rsidRDefault="00B54D06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 w:rsidRPr="007960D7">
        <w:rPr>
          <w:rFonts w:cs="Arial"/>
          <w:b/>
        </w:rPr>
        <w:t>Eliminar la facultad de las personas jurídicas de entregar aportes a las campañas</w:t>
      </w:r>
      <w:r>
        <w:rPr>
          <w:rFonts w:cs="Arial"/>
        </w:rPr>
        <w:t>.</w:t>
      </w:r>
    </w:p>
    <w:p w:rsidR="00023F08" w:rsidRDefault="00B54D06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De mantenerse el financiamiento ciudadano, </w:t>
      </w:r>
      <w:r w:rsidRPr="007960D7">
        <w:rPr>
          <w:rFonts w:cs="Arial"/>
          <w:b/>
        </w:rPr>
        <w:t xml:space="preserve">eliminar la posibilidad de que estos puedan financiar a candidatos </w:t>
      </w:r>
      <w:r w:rsidR="00023F08" w:rsidRPr="007960D7">
        <w:rPr>
          <w:rFonts w:cs="Arial"/>
          <w:b/>
        </w:rPr>
        <w:t xml:space="preserve">que compiten </w:t>
      </w:r>
      <w:r w:rsidRPr="007960D7">
        <w:rPr>
          <w:rFonts w:cs="Arial"/>
          <w:b/>
        </w:rPr>
        <w:t>entre sí</w:t>
      </w:r>
      <w:r w:rsidR="00023F08" w:rsidRPr="007960D7">
        <w:rPr>
          <w:rFonts w:cs="Arial"/>
          <w:b/>
        </w:rPr>
        <w:t xml:space="preserve"> </w:t>
      </w:r>
      <w:r w:rsidR="00023F08">
        <w:rPr>
          <w:rFonts w:cs="Arial"/>
        </w:rPr>
        <w:t>(evitar aportes cruzados y/o excluyentes)</w:t>
      </w:r>
      <w:r>
        <w:rPr>
          <w:rFonts w:cs="Arial"/>
        </w:rPr>
        <w:t>.</w:t>
      </w:r>
      <w:r w:rsidR="007960D7">
        <w:rPr>
          <w:rFonts w:cs="Arial"/>
        </w:rPr>
        <w:t xml:space="preserve"> No tiene sentido democrático apoyar a contendores, a no ser que se quiera “apostar” a ganador. La democracia no resiste la especulación, que tiene otros fines.</w:t>
      </w:r>
    </w:p>
    <w:p w:rsidR="001608C7" w:rsidRDefault="00D25107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Establecer </w:t>
      </w:r>
      <w:r w:rsidR="00FF617E">
        <w:rPr>
          <w:rFonts w:cs="Arial"/>
        </w:rPr>
        <w:t xml:space="preserve">la </w:t>
      </w:r>
      <w:r w:rsidR="00FF617E" w:rsidRPr="007960D7">
        <w:rPr>
          <w:rFonts w:cs="Arial"/>
          <w:b/>
        </w:rPr>
        <w:t xml:space="preserve">revocatoria de mandato </w:t>
      </w:r>
      <w:r w:rsidR="00FF617E">
        <w:rPr>
          <w:rFonts w:cs="Arial"/>
        </w:rPr>
        <w:t>con un número de firmas determinado.</w:t>
      </w:r>
    </w:p>
    <w:p w:rsidR="00505D34" w:rsidRDefault="001608C7" w:rsidP="00954A48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Establecer la </w:t>
      </w:r>
      <w:r w:rsidRPr="007960D7">
        <w:rPr>
          <w:rFonts w:cs="Arial"/>
          <w:b/>
        </w:rPr>
        <w:t xml:space="preserve">residencia efectiva </w:t>
      </w:r>
      <w:r>
        <w:rPr>
          <w:rFonts w:cs="Arial"/>
        </w:rPr>
        <w:t>por un período determinado en la comuna, provincia, distrito o circunscripción para quienes postulen a un cargo de representación popular.</w:t>
      </w:r>
    </w:p>
    <w:p w:rsidR="00505D34" w:rsidRPr="00505D34" w:rsidRDefault="00505D34" w:rsidP="00505D34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 w:rsidRPr="007960D7">
        <w:rPr>
          <w:rFonts w:cs="Arial"/>
          <w:b/>
        </w:rPr>
        <w:t xml:space="preserve">Rendición pública periódica de gestión y gasto de autoridades electas </w:t>
      </w:r>
      <w:r>
        <w:rPr>
          <w:rFonts w:cs="Arial"/>
        </w:rPr>
        <w:t xml:space="preserve">por </w:t>
      </w:r>
      <w:r w:rsidRPr="00505D34">
        <w:rPr>
          <w:rFonts w:cs="Arial"/>
        </w:rPr>
        <w:t>voto popular.</w:t>
      </w:r>
    </w:p>
    <w:p w:rsidR="00505D34" w:rsidRPr="00505D34" w:rsidRDefault="00505D34" w:rsidP="00505D34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Incorporar </w:t>
      </w:r>
      <w:r w:rsidRPr="007960D7">
        <w:rPr>
          <w:rFonts w:cs="Arial"/>
          <w:b/>
        </w:rPr>
        <w:t xml:space="preserve">mecanismos para el monitoreo efectivo </w:t>
      </w:r>
      <w:r>
        <w:rPr>
          <w:rFonts w:cs="Arial"/>
        </w:rPr>
        <w:t xml:space="preserve">de las acciones de los </w:t>
      </w:r>
      <w:r w:rsidRPr="00505D34">
        <w:rPr>
          <w:rFonts w:cs="Arial"/>
        </w:rPr>
        <w:t xml:space="preserve">funcionarios públicos, </w:t>
      </w:r>
      <w:r>
        <w:rPr>
          <w:rFonts w:cs="Arial"/>
        </w:rPr>
        <w:t xml:space="preserve">a través de un portal </w:t>
      </w:r>
      <w:proofErr w:type="spellStart"/>
      <w:r>
        <w:rPr>
          <w:rFonts w:cs="Arial"/>
        </w:rPr>
        <w:t>web</w:t>
      </w:r>
      <w:proofErr w:type="spellEnd"/>
      <w:r>
        <w:rPr>
          <w:rFonts w:cs="Arial"/>
        </w:rPr>
        <w:t xml:space="preserve"> de transparencia mucho más amigable</w:t>
      </w:r>
      <w:r w:rsidRPr="00505D34">
        <w:rPr>
          <w:rFonts w:cs="Arial"/>
        </w:rPr>
        <w:t>.</w:t>
      </w:r>
    </w:p>
    <w:p w:rsidR="002B6AEF" w:rsidRDefault="00505D34" w:rsidP="00505D34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Mejorar la LOC de Partidos Políticos, </w:t>
      </w:r>
      <w:r w:rsidRPr="007960D7">
        <w:rPr>
          <w:rFonts w:cs="Arial"/>
          <w:b/>
        </w:rPr>
        <w:t xml:space="preserve">incorporando mecanismos efectivos de validación de las decisiones </w:t>
      </w:r>
      <w:r>
        <w:rPr>
          <w:rFonts w:cs="Arial"/>
        </w:rPr>
        <w:t>y estableciendo que acuerdos ampliamente adoptados sean vinculantes para sus dirigentes.</w:t>
      </w:r>
    </w:p>
    <w:p w:rsidR="002B6AEF" w:rsidRPr="002B6AEF" w:rsidRDefault="002B6AEF" w:rsidP="002B6AEF">
      <w:pPr>
        <w:pStyle w:val="Prrafodelista"/>
        <w:widowControl w:val="0"/>
        <w:numPr>
          <w:ilvl w:val="1"/>
          <w:numId w:val="3"/>
        </w:numPr>
        <w:jc w:val="both"/>
        <w:rPr>
          <w:rFonts w:cs="Arial"/>
        </w:rPr>
      </w:pPr>
      <w:r w:rsidRPr="007960D7">
        <w:rPr>
          <w:rFonts w:cs="Arial"/>
          <w:b/>
        </w:rPr>
        <w:t>Indicadores de transferencia del Estado a militantes de partidos políticos</w:t>
      </w:r>
      <w:r>
        <w:rPr>
          <w:rFonts w:cs="Arial"/>
        </w:rPr>
        <w:t>, con el fin de chequear si existe un patrón de financiamiento de fondos públicos por esta vía.</w:t>
      </w:r>
    </w:p>
    <w:p w:rsidR="00127D5B" w:rsidRPr="00616222" w:rsidRDefault="00127D5B" w:rsidP="00954A48">
      <w:pPr>
        <w:widowControl w:val="0"/>
        <w:jc w:val="both"/>
        <w:rPr>
          <w:rFonts w:cs="Arial"/>
        </w:rPr>
      </w:pPr>
    </w:p>
    <w:p w:rsidR="00D25107" w:rsidRDefault="00D25107" w:rsidP="00954A48">
      <w:pPr>
        <w:pStyle w:val="Prrafodelista"/>
        <w:widowControl w:val="0"/>
        <w:numPr>
          <w:ilvl w:val="0"/>
          <w:numId w:val="5"/>
        </w:numPr>
        <w:jc w:val="both"/>
        <w:rPr>
          <w:rFonts w:cs="Arial"/>
        </w:rPr>
      </w:pPr>
      <w:r w:rsidRPr="00D25107">
        <w:rPr>
          <w:rFonts w:cs="Arial"/>
        </w:rPr>
        <w:t>Otros:</w:t>
      </w:r>
    </w:p>
    <w:p w:rsidR="002B6AEF" w:rsidRDefault="00D25107" w:rsidP="002B6AEF">
      <w:pPr>
        <w:pStyle w:val="Prrafodelista"/>
        <w:widowControl w:val="0"/>
        <w:numPr>
          <w:ilvl w:val="1"/>
          <w:numId w:val="5"/>
        </w:numPr>
        <w:jc w:val="both"/>
        <w:rPr>
          <w:rFonts w:cs="Arial"/>
        </w:rPr>
      </w:pPr>
      <w:r w:rsidRPr="007960D7">
        <w:rPr>
          <w:rFonts w:cs="Arial"/>
          <w:b/>
        </w:rPr>
        <w:t xml:space="preserve">Establecer la rotación de jueces y ministros de las cortes de apelaciones </w:t>
      </w:r>
      <w:r>
        <w:rPr>
          <w:rFonts w:cs="Arial"/>
        </w:rPr>
        <w:t>(máximo de años en sedes jurisdiccionales), para evitar tráfico de influencias por permanencia de largos períodos en cargos de relevancia.</w:t>
      </w:r>
    </w:p>
    <w:p w:rsidR="002B6AEF" w:rsidRDefault="002B6AEF" w:rsidP="002B6AEF">
      <w:pPr>
        <w:pStyle w:val="Prrafodelista"/>
        <w:widowControl w:val="0"/>
        <w:ind w:left="1440"/>
        <w:jc w:val="both"/>
        <w:rPr>
          <w:rFonts w:cs="Arial"/>
        </w:rPr>
      </w:pPr>
    </w:p>
    <w:p w:rsidR="002B6AEF" w:rsidRPr="002B6AEF" w:rsidRDefault="002B6AEF" w:rsidP="002B6AEF">
      <w:pPr>
        <w:widowControl w:val="0"/>
        <w:jc w:val="right"/>
        <w:rPr>
          <w:rFonts w:cs="Arial"/>
          <w:b/>
        </w:rPr>
      </w:pPr>
      <w:r w:rsidRPr="002B6AEF">
        <w:rPr>
          <w:rFonts w:cs="Arial"/>
          <w:b/>
        </w:rPr>
        <w:t>Patricio Segura Ortiz</w:t>
      </w:r>
    </w:p>
    <w:p w:rsidR="002B6AEF" w:rsidRPr="002B6AEF" w:rsidRDefault="002B6AEF" w:rsidP="002B6AEF">
      <w:pPr>
        <w:widowControl w:val="0"/>
        <w:jc w:val="right"/>
        <w:rPr>
          <w:rFonts w:cs="Arial"/>
        </w:rPr>
      </w:pPr>
      <w:r w:rsidRPr="002B6AEF">
        <w:rPr>
          <w:rFonts w:cs="Arial"/>
        </w:rPr>
        <w:t>+ 56 99 9699780</w:t>
      </w:r>
    </w:p>
    <w:p w:rsidR="00D25107" w:rsidRPr="002B6AEF" w:rsidRDefault="002B6AEF" w:rsidP="002B6AEF">
      <w:pPr>
        <w:widowControl w:val="0"/>
        <w:jc w:val="right"/>
        <w:rPr>
          <w:rFonts w:cs="Arial"/>
        </w:rPr>
      </w:pPr>
      <w:r w:rsidRPr="002B6AEF">
        <w:rPr>
          <w:rFonts w:cs="Arial"/>
        </w:rPr>
        <w:t>psegura@gmail.com</w:t>
      </w:r>
    </w:p>
    <w:sectPr w:rsidR="00D25107" w:rsidRPr="002B6AEF" w:rsidSect="00127D5B">
      <w:headerReference w:type="default" r:id="rId5"/>
      <w:pgSz w:w="12240" w:h="15840"/>
      <w:pgMar w:top="2192" w:right="1134" w:bottom="2268" w:left="1134" w:header="709" w:gutter="0"/>
      <w:docGrid w:linePitch="7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 MT">
    <w:altName w:val="Gill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06" w:rsidRDefault="00B54D06" w:rsidP="00127D5B">
    <w:pPr>
      <w:pStyle w:val="Encabezado"/>
    </w:pPr>
    <w:r>
      <w:rPr>
        <w:noProof/>
        <w:lang w:eastAsia="es-ES_tradnl" w:bidi="ar-SA"/>
      </w:rPr>
      <w:drawing>
        <wp:inline distT="0" distB="0" distL="0" distR="0">
          <wp:extent cx="826135" cy="833120"/>
          <wp:effectExtent l="25400" t="0" r="12065" b="0"/>
          <wp:docPr id="1" name="Imagen 1" descr="POSO:PATO:CODESA:EJECUCIÓN FONDO ASOCIATIVIDAD:AFICHES Y LOGOS:AFICHES Y LOGOS BAJA:LOGO CODESA BAJA (FIN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OSO:PATO:CODESA:EJECUCIÓN FONDO ASOCIATIVIDAD:AFICHES Y LOGOS:AFICHES Y LOGOS BAJA:LOGO CODESA BAJA (FINAL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EE5187"/>
    <w:multiLevelType w:val="hybridMultilevel"/>
    <w:tmpl w:val="EB1A06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278C"/>
    <w:multiLevelType w:val="hybridMultilevel"/>
    <w:tmpl w:val="B6880B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0291F"/>
    <w:multiLevelType w:val="hybridMultilevel"/>
    <w:tmpl w:val="678861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F179C"/>
    <w:multiLevelType w:val="hybridMultilevel"/>
    <w:tmpl w:val="F8AA18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/>
  <w:rsids>
    <w:rsidRoot w:val="00664F81"/>
    <w:rsid w:val="00023F08"/>
    <w:rsid w:val="00057B39"/>
    <w:rsid w:val="00127D5B"/>
    <w:rsid w:val="001608C7"/>
    <w:rsid w:val="001E1DB8"/>
    <w:rsid w:val="00214A65"/>
    <w:rsid w:val="002B6AEF"/>
    <w:rsid w:val="00505D34"/>
    <w:rsid w:val="00613475"/>
    <w:rsid w:val="00616222"/>
    <w:rsid w:val="00664F81"/>
    <w:rsid w:val="007960D7"/>
    <w:rsid w:val="00954A48"/>
    <w:rsid w:val="00B54D06"/>
    <w:rsid w:val="00C6301C"/>
    <w:rsid w:val="00CA7982"/>
    <w:rsid w:val="00D25107"/>
    <w:rsid w:val="00FF617E"/>
  </w:rsids>
  <m:mathPr>
    <m:mathFont m:val="A.C.M.E. Secret Age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12D7"/>
    <w:pPr>
      <w:suppressAutoHyphens/>
    </w:pPr>
    <w:rPr>
      <w:rFonts w:ascii="Gill Sans MT" w:eastAsia="Times New Roman" w:hAnsi="Gill Sans MT"/>
      <w:lang w:eastAsia="he-IL" w:bidi="he-I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next w:val="Textodecuerpo"/>
    <w:link w:val="EncabezadoCar"/>
    <w:rsid w:val="00D21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2D7"/>
    <w:rPr>
      <w:rFonts w:ascii="Gill Sans MT" w:eastAsia="Times New Roman" w:hAnsi="Gill Sans MT" w:cs="Times New Roman"/>
      <w:szCs w:val="20"/>
      <w:lang w:val="es-CL" w:eastAsia="he-IL" w:bidi="he-IL"/>
    </w:rPr>
  </w:style>
  <w:style w:type="paragraph" w:customStyle="1" w:styleId="Sangra2detindependiente">
    <w:name w:val="Sangría 2 de t. independiente"/>
    <w:basedOn w:val="Normal"/>
    <w:rsid w:val="00D212D7"/>
    <w:pPr>
      <w:spacing w:line="360" w:lineRule="auto"/>
      <w:ind w:firstLine="567"/>
      <w:jc w:val="both"/>
    </w:pPr>
  </w:style>
  <w:style w:type="paragraph" w:styleId="Textodecuerpo">
    <w:name w:val="Body Text"/>
    <w:basedOn w:val="Normal"/>
    <w:link w:val="TextodecuerpoCar"/>
    <w:uiPriority w:val="99"/>
    <w:semiHidden/>
    <w:unhideWhenUsed/>
    <w:rsid w:val="00D212D7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D212D7"/>
    <w:rPr>
      <w:rFonts w:ascii="Gill Sans MT" w:eastAsia="Times New Roman" w:hAnsi="Gill Sans MT" w:cs="Times New Roman"/>
      <w:szCs w:val="20"/>
      <w:lang w:val="es-CL" w:eastAsia="he-IL" w:bidi="he-IL"/>
    </w:rPr>
  </w:style>
  <w:style w:type="paragraph" w:styleId="Piedepgina">
    <w:name w:val="footer"/>
    <w:basedOn w:val="Normal"/>
    <w:link w:val="PiedepginaCar"/>
    <w:rsid w:val="00526B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6B82"/>
    <w:rPr>
      <w:rFonts w:ascii="Gill Sans MT" w:eastAsia="Times New Roman" w:hAnsi="Gill Sans MT"/>
      <w:lang w:val="es-CL" w:eastAsia="he-IL" w:bidi="he-IL"/>
    </w:rPr>
  </w:style>
  <w:style w:type="paragraph" w:styleId="Prrafodelista">
    <w:name w:val="List Paragraph"/>
    <w:basedOn w:val="Normal"/>
    <w:rsid w:val="00C50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500GB%20(180GB):Users:patriciosegura500GB:Library:Application%20Support:Microsoft:Office:Plantillas%20personales:Mis%20plantillas:BOLETI&#769;N%20CODE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BOLETÍN CODESA.dotx</Template>
  <TotalTime>54</TotalTime>
  <Pages>3</Pages>
  <Words>722</Words>
  <Characters>4129</Characters>
  <Application>Microsoft Macintosh Word</Application>
  <DocSecurity>0</DocSecurity>
  <Lines>80</Lines>
  <Paragraphs>28</Paragraphs>
  <ScaleCrop>false</ScaleCrop>
  <Company>Coalición ARV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Segura Ortiz</dc:creator>
  <cp:keywords/>
  <cp:lastModifiedBy>Patricio Segura Ortiz</cp:lastModifiedBy>
  <cp:revision>13</cp:revision>
  <dcterms:created xsi:type="dcterms:W3CDTF">2015-04-07T22:56:00Z</dcterms:created>
  <dcterms:modified xsi:type="dcterms:W3CDTF">2015-04-12T22:17:00Z</dcterms:modified>
</cp:coreProperties>
</file>