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95" w:rsidRPr="00072ED7" w:rsidRDefault="005D4895" w:rsidP="005062BB">
      <w:pPr>
        <w:jc w:val="both"/>
      </w:pPr>
    </w:p>
    <w:p w:rsidR="00E13900" w:rsidRPr="00072ED7" w:rsidRDefault="00E13900" w:rsidP="005062BB">
      <w:pPr>
        <w:pStyle w:val="Prrafodelista"/>
        <w:jc w:val="both"/>
      </w:pPr>
    </w:p>
    <w:p w:rsidR="005062BB" w:rsidRDefault="005062BB" w:rsidP="005062BB">
      <w:pPr>
        <w:pStyle w:val="Prrafodelista"/>
        <w:jc w:val="center"/>
        <w:rPr>
          <w:b/>
          <w:u w:val="single"/>
        </w:rPr>
      </w:pPr>
    </w:p>
    <w:p w:rsidR="005062BB" w:rsidRDefault="005062BB" w:rsidP="005062BB">
      <w:pPr>
        <w:pStyle w:val="Prrafodelista"/>
        <w:jc w:val="center"/>
        <w:rPr>
          <w:b/>
          <w:u w:val="single"/>
        </w:rPr>
      </w:pPr>
    </w:p>
    <w:p w:rsidR="005062BB" w:rsidRDefault="005062BB" w:rsidP="005062BB">
      <w:pPr>
        <w:pStyle w:val="Prrafodelista"/>
        <w:jc w:val="center"/>
        <w:rPr>
          <w:b/>
          <w:u w:val="single"/>
        </w:rPr>
      </w:pPr>
    </w:p>
    <w:p w:rsidR="005062BB" w:rsidRDefault="005062BB" w:rsidP="005062BB">
      <w:pPr>
        <w:pStyle w:val="Prrafodelista"/>
        <w:jc w:val="center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49991C64" wp14:editId="11E2F9A1">
            <wp:extent cx="1018540" cy="1179195"/>
            <wp:effectExtent l="0" t="0" r="0" b="1905"/>
            <wp:docPr id="1" name="Imagen 1" descr="C:\Users\Pedro\AppData\Local\Microsoft\Windows\INetCache\Content.Word\nosotrosciudad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dro\AppData\Local\Microsoft\Windows\INetCache\Content.Word\nosotrosciudadan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BB" w:rsidRDefault="005062BB" w:rsidP="005062BB">
      <w:pPr>
        <w:pStyle w:val="Prrafodelista"/>
        <w:jc w:val="center"/>
        <w:rPr>
          <w:b/>
          <w:u w:val="single"/>
        </w:rPr>
      </w:pPr>
    </w:p>
    <w:p w:rsidR="005062BB" w:rsidRDefault="00E13900" w:rsidP="005062BB">
      <w:pPr>
        <w:pStyle w:val="Prrafodelista"/>
        <w:jc w:val="center"/>
        <w:rPr>
          <w:b/>
          <w:u w:val="single"/>
        </w:rPr>
      </w:pPr>
      <w:r w:rsidRPr="00072ED7">
        <w:rPr>
          <w:b/>
          <w:u w:val="single"/>
        </w:rPr>
        <w:t xml:space="preserve">Propuesta </w:t>
      </w:r>
      <w:r w:rsidR="005062BB">
        <w:rPr>
          <w:b/>
          <w:u w:val="single"/>
        </w:rPr>
        <w:t>Comisión Asesora Presidencial</w:t>
      </w:r>
    </w:p>
    <w:p w:rsidR="00E13900" w:rsidRPr="00072ED7" w:rsidRDefault="00E13900" w:rsidP="005062BB">
      <w:pPr>
        <w:pStyle w:val="Prrafodelista"/>
        <w:jc w:val="center"/>
        <w:rPr>
          <w:b/>
          <w:u w:val="single"/>
        </w:rPr>
      </w:pPr>
      <w:bookmarkStart w:id="0" w:name="_GoBack"/>
      <w:bookmarkEnd w:id="0"/>
      <w:r w:rsidRPr="00072ED7">
        <w:rPr>
          <w:b/>
          <w:u w:val="single"/>
        </w:rPr>
        <w:t>Fundación Nosotros Ciudadanos</w:t>
      </w:r>
    </w:p>
    <w:p w:rsidR="00E13900" w:rsidRPr="00072ED7" w:rsidRDefault="00E13900" w:rsidP="005062BB">
      <w:pPr>
        <w:pStyle w:val="Prrafodelista"/>
        <w:jc w:val="both"/>
      </w:pPr>
    </w:p>
    <w:p w:rsidR="00E13900" w:rsidRPr="00072ED7" w:rsidRDefault="00AA2BC0" w:rsidP="005062BB">
      <w:pPr>
        <w:jc w:val="both"/>
        <w:rPr>
          <w:lang w:val="es-ES_tradnl"/>
        </w:rPr>
      </w:pPr>
      <w:r w:rsidRPr="00072ED7">
        <w:t>En</w:t>
      </w:r>
      <w:r w:rsidR="00E13900" w:rsidRPr="00072ED7">
        <w:t xml:space="preserve"> la Fundación Nosotros Ciudadanos queremos alcanzar</w:t>
      </w:r>
      <w:r w:rsidR="00E13900" w:rsidRPr="00072ED7">
        <w:rPr>
          <w:lang w:val="es-ES_tradnl"/>
        </w:rPr>
        <w:t xml:space="preserve"> una sociedad más integrada, con sentido de comunidad como fuerza transformadora que el rompa el individualismo reinante, fomentando la participación política y comunitaria y revalorizar la actividad política como forma de romper la segregación y la desigualdad social.</w:t>
      </w:r>
    </w:p>
    <w:p w:rsidR="00E7534A" w:rsidRPr="00072ED7" w:rsidRDefault="00E7534A" w:rsidP="005062BB">
      <w:pPr>
        <w:pStyle w:val="Prrafodelista"/>
        <w:numPr>
          <w:ilvl w:val="0"/>
          <w:numId w:val="1"/>
        </w:numPr>
        <w:jc w:val="both"/>
      </w:pPr>
      <w:r w:rsidRPr="00072ED7">
        <w:t xml:space="preserve">Financiamiento </w:t>
      </w:r>
      <w:r w:rsidR="0070008E" w:rsidRPr="00072ED7">
        <w:t>de la política</w:t>
      </w:r>
    </w:p>
    <w:p w:rsidR="00E13900" w:rsidRPr="00072ED7" w:rsidRDefault="00E13900" w:rsidP="005062BB">
      <w:pPr>
        <w:jc w:val="both"/>
      </w:pPr>
      <w:r w:rsidRPr="00072ED7">
        <w:t xml:space="preserve">Respecto al financiamiento de la política, distinguimos entre financiamiento de los partidos políticos y de otros actores. </w:t>
      </w:r>
    </w:p>
    <w:p w:rsidR="00E13900" w:rsidRPr="00072ED7" w:rsidRDefault="00E13900" w:rsidP="005062BB">
      <w:pPr>
        <w:pStyle w:val="Prrafodelista"/>
        <w:numPr>
          <w:ilvl w:val="0"/>
          <w:numId w:val="3"/>
        </w:numPr>
        <w:jc w:val="both"/>
      </w:pPr>
      <w:r w:rsidRPr="00072ED7">
        <w:t>Respecto al primero, acorde a nuestro relato de fortalecer la institucio</w:t>
      </w:r>
      <w:r w:rsidR="00E8048E" w:rsidRPr="00072ED7">
        <w:t xml:space="preserve">nalidad, creemos que es </w:t>
      </w:r>
      <w:r w:rsidR="00E8048E" w:rsidRPr="005062BB">
        <w:rPr>
          <w:b/>
        </w:rPr>
        <w:t>positiva</w:t>
      </w:r>
      <w:r w:rsidRPr="005062BB">
        <w:rPr>
          <w:b/>
        </w:rPr>
        <w:t xml:space="preserve"> la inclusión de financiamiento público a los partidos políticos</w:t>
      </w:r>
      <w:r w:rsidRPr="00072ED7">
        <w:t xml:space="preserve"> con la condición que </w:t>
      </w:r>
      <w:r w:rsidR="00AA2BC0" w:rsidRPr="00072ED7">
        <w:t>los fondos tengan una destinación clara</w:t>
      </w:r>
      <w:r w:rsidRPr="00072ED7">
        <w:t xml:space="preserve"> unido a rendición de cuentas de carácter público.</w:t>
      </w:r>
    </w:p>
    <w:p w:rsidR="00E8048E" w:rsidRPr="00072ED7" w:rsidRDefault="00E7534A" w:rsidP="005062BB">
      <w:pPr>
        <w:pStyle w:val="Prrafodelista"/>
        <w:ind w:left="360"/>
        <w:jc w:val="both"/>
      </w:pPr>
      <w:r w:rsidRPr="00072ED7">
        <w:t xml:space="preserve">La </w:t>
      </w:r>
      <w:r w:rsidR="00E13900" w:rsidRPr="00072ED7">
        <w:t xml:space="preserve">crisis democrática se fomenta a partir de </w:t>
      </w:r>
      <w:r w:rsidR="00E8048E" w:rsidRPr="00072ED7">
        <w:t xml:space="preserve">actitudes antidemocráticas, como las que han acaecido durante el último tiempo en Chile. Por lo mismo, creemos que la única forma de fortalecer la democracia es </w:t>
      </w:r>
      <w:r w:rsidR="00AA2BC0" w:rsidRPr="00072ED7">
        <w:t>erradicando</w:t>
      </w:r>
      <w:r w:rsidR="00E8048E" w:rsidRPr="00072ED7">
        <w:t xml:space="preserve"> dichas actitudes y </w:t>
      </w:r>
      <w:r w:rsidR="00AA2BC0" w:rsidRPr="00072ED7">
        <w:t>promoviendo</w:t>
      </w:r>
      <w:r w:rsidR="00E8048E" w:rsidRPr="00072ED7">
        <w:t xml:space="preserve"> aquéllas que fomenten la democracia, la institucionalidad y la participación política. </w:t>
      </w:r>
    </w:p>
    <w:p w:rsidR="00E7534A" w:rsidRPr="00072ED7" w:rsidRDefault="00E8048E" w:rsidP="005062BB">
      <w:pPr>
        <w:pStyle w:val="Prrafodelista"/>
        <w:ind w:left="360"/>
        <w:jc w:val="both"/>
      </w:pPr>
      <w:r w:rsidRPr="00072ED7">
        <w:t>Como contrapartida al financiamiento público, se deben aumentar las exigencia</w:t>
      </w:r>
      <w:r w:rsidR="001A1604" w:rsidRPr="00072ED7">
        <w:t>s de democracia interna a los partidos políticos</w:t>
      </w:r>
      <w:r w:rsidR="00FA04B2" w:rsidRPr="00072ED7">
        <w:t xml:space="preserve"> (elecciones universales, transparencia activa, consejos generales permanentes)</w:t>
      </w:r>
      <w:r w:rsidR="001A1604" w:rsidRPr="00072ED7">
        <w:t xml:space="preserve">. </w:t>
      </w:r>
      <w:r w:rsidR="00FA04B2" w:rsidRPr="00072ED7">
        <w:t>Y,</w:t>
      </w:r>
      <w:r w:rsidR="001A1604" w:rsidRPr="00072ED7">
        <w:t xml:space="preserve"> desde luego, aplicar efectivamente sanciones a contravenciones al límite de gasto electoral, aumentar los mecanismos de fiscalización del S</w:t>
      </w:r>
      <w:r w:rsidR="00FA04B2" w:rsidRPr="00072ED7">
        <w:t>ERVEL</w:t>
      </w:r>
      <w:r w:rsidR="001A1604" w:rsidRPr="00072ED7">
        <w:t>, normar la elusión.</w:t>
      </w:r>
    </w:p>
    <w:p w:rsidR="00025405" w:rsidRPr="00072ED7" w:rsidRDefault="001A1604" w:rsidP="005062BB">
      <w:pPr>
        <w:pStyle w:val="Prrafodelista"/>
        <w:numPr>
          <w:ilvl w:val="0"/>
          <w:numId w:val="3"/>
        </w:numPr>
        <w:spacing w:after="0"/>
        <w:jc w:val="both"/>
      </w:pPr>
      <w:r w:rsidRPr="00072ED7">
        <w:t xml:space="preserve">Respecto al segundo, </w:t>
      </w:r>
      <w:r w:rsidR="00BE6F69" w:rsidRPr="00072ED7">
        <w:t xml:space="preserve">estamos convencidos que </w:t>
      </w:r>
      <w:r w:rsidRPr="00072ED7">
        <w:t xml:space="preserve">los partidos políticos no </w:t>
      </w:r>
      <w:r w:rsidR="00517FB0" w:rsidRPr="00072ED7">
        <w:t>tienen</w:t>
      </w:r>
      <w:r w:rsidRPr="00072ED7">
        <w:t xml:space="preserve"> el monopoli</w:t>
      </w:r>
      <w:r w:rsidR="00517FB0" w:rsidRPr="00072ED7">
        <w:t>o de la participación ciudadana</w:t>
      </w:r>
      <w:r w:rsidRPr="00072ED7">
        <w:t xml:space="preserve">. Por ello, </w:t>
      </w:r>
      <w:r w:rsidR="00BE6F69" w:rsidRPr="00072ED7">
        <w:t xml:space="preserve">es </w:t>
      </w:r>
      <w:r w:rsidRPr="00072ED7">
        <w:t>indispensable que un proyecto de ley para el fortalecimiento y transpar</w:t>
      </w:r>
      <w:r w:rsidR="00025405" w:rsidRPr="00072ED7">
        <w:t xml:space="preserve">encia de la democracia no puede considerar como únicos actores </w:t>
      </w:r>
      <w:r w:rsidR="00025405" w:rsidRPr="00072ED7">
        <w:lastRenderedPageBreak/>
        <w:t xml:space="preserve">políticos a los </w:t>
      </w:r>
      <w:r w:rsidR="00BE6F69" w:rsidRPr="00072ED7">
        <w:t>mismos</w:t>
      </w:r>
      <w:r w:rsidR="00025405" w:rsidRPr="00072ED7">
        <w:t>, sino que también deben ser fortalecidas las diversas formas de asociación de la sociedad, como fundaciones, corporaciones, sindicatos, juntas de vecinos.</w:t>
      </w:r>
    </w:p>
    <w:p w:rsidR="00025405" w:rsidRPr="00072ED7" w:rsidRDefault="00025405" w:rsidP="005062BB">
      <w:pPr>
        <w:spacing w:after="0"/>
        <w:ind w:left="360"/>
        <w:jc w:val="both"/>
      </w:pPr>
      <w:r w:rsidRPr="00072ED7">
        <w:t xml:space="preserve">Creemos que debe </w:t>
      </w:r>
      <w:r w:rsidR="00BE6F69" w:rsidRPr="00072ED7">
        <w:t>aumentar</w:t>
      </w:r>
      <w:r w:rsidRPr="00072ED7">
        <w:t xml:space="preserve"> el financiamiento a personas jurídicas sin fines de lucro</w:t>
      </w:r>
      <w:r w:rsidR="00FA04B2" w:rsidRPr="00072ED7">
        <w:t xml:space="preserve"> que trabajen en pos de estos objetivos</w:t>
      </w:r>
      <w:r w:rsidRPr="00072ED7">
        <w:t>, en particular, a organizaciones de interés público, tal como se hizo con la promulgación de la Ley N° 20.500 sobre asociaciones y participación ciudadana en la gestión pública</w:t>
      </w:r>
      <w:r w:rsidR="00FA04B2" w:rsidRPr="00072ED7">
        <w:t>, la que también requiere revisión y perfeccionamiento</w:t>
      </w:r>
      <w:r w:rsidRPr="00072ED7">
        <w:t xml:space="preserve">. </w:t>
      </w:r>
    </w:p>
    <w:p w:rsidR="001F34B5" w:rsidRDefault="00342B95" w:rsidP="005062BB">
      <w:pPr>
        <w:spacing w:after="0"/>
        <w:ind w:left="360"/>
        <w:jc w:val="both"/>
      </w:pPr>
      <w:r>
        <w:t>Se debe resguardar que toda organización sin fines de lucro em</w:t>
      </w:r>
      <w:r w:rsidR="00A55533">
        <w:t xml:space="preserve">plee sus fondos para su objeto </w:t>
      </w:r>
      <w:r>
        <w:t>y no se desvíen a otras destinaciones.</w:t>
      </w:r>
    </w:p>
    <w:p w:rsidR="00342B95" w:rsidRPr="00072ED7" w:rsidRDefault="00342B95" w:rsidP="005062BB">
      <w:pPr>
        <w:spacing w:after="0"/>
        <w:ind w:left="360"/>
        <w:jc w:val="both"/>
      </w:pPr>
    </w:p>
    <w:p w:rsidR="001F34B5" w:rsidRDefault="001F34B5" w:rsidP="005062BB">
      <w:pPr>
        <w:pStyle w:val="Prrafodelista"/>
        <w:numPr>
          <w:ilvl w:val="0"/>
          <w:numId w:val="1"/>
        </w:numPr>
        <w:spacing w:after="0"/>
        <w:jc w:val="both"/>
      </w:pPr>
      <w:r w:rsidRPr="00072ED7">
        <w:t xml:space="preserve">Probidad </w:t>
      </w:r>
    </w:p>
    <w:p w:rsidR="00072ED7" w:rsidRPr="00072ED7" w:rsidRDefault="00072ED7" w:rsidP="005062BB">
      <w:pPr>
        <w:pStyle w:val="Prrafodelista"/>
        <w:spacing w:after="0"/>
        <w:ind w:left="360"/>
        <w:jc w:val="both"/>
      </w:pPr>
    </w:p>
    <w:p w:rsidR="001F34B5" w:rsidRPr="00072ED7" w:rsidRDefault="00025405" w:rsidP="005062BB">
      <w:pPr>
        <w:spacing w:after="0"/>
        <w:ind w:left="360"/>
        <w:jc w:val="both"/>
      </w:pPr>
      <w:r w:rsidRPr="00072ED7">
        <w:t>Dentro de las recomendaciones para acercarse a un fiel cumplimiento del p</w:t>
      </w:r>
      <w:r w:rsidR="00072ED7">
        <w:t xml:space="preserve">rincipio de probidad, </w:t>
      </w:r>
      <w:r w:rsidRPr="00072ED7">
        <w:t xml:space="preserve">nuestra Fundación </w:t>
      </w:r>
      <w:r w:rsidR="00072ED7">
        <w:t>propone</w:t>
      </w:r>
      <w:r w:rsidR="00DE7E4B" w:rsidRPr="00072ED7">
        <w:t xml:space="preserve"> </w:t>
      </w:r>
      <w:r w:rsidR="002C0418">
        <w:t>la formación del agente público</w:t>
      </w:r>
      <w:r w:rsidR="00DE7E4B" w:rsidRPr="00072ED7">
        <w:t xml:space="preserve"> y su ca</w:t>
      </w:r>
      <w:r w:rsidR="00072ED7">
        <w:t>pacitación y perfeccionamiento, puesto que e</w:t>
      </w:r>
      <w:r w:rsidR="001F34B5" w:rsidRPr="00072ED7">
        <w:t>n la medida que se obtenga una mayor idoneidad profesional y técnica y el dominio de principios fundamentales, se alejará la posibilidad de incurrir en conductas co</w:t>
      </w:r>
      <w:r w:rsidR="00072ED7">
        <w:t xml:space="preserve">rruptas. </w:t>
      </w:r>
    </w:p>
    <w:p w:rsidR="001F34B5" w:rsidRPr="00072ED7" w:rsidRDefault="001F34B5" w:rsidP="005062BB">
      <w:pPr>
        <w:spacing w:after="0"/>
        <w:ind w:left="720"/>
        <w:jc w:val="both"/>
      </w:pPr>
    </w:p>
    <w:p w:rsidR="00E7270A" w:rsidRDefault="001F34B5" w:rsidP="005062BB">
      <w:pPr>
        <w:pStyle w:val="Prrafodelista"/>
        <w:numPr>
          <w:ilvl w:val="0"/>
          <w:numId w:val="1"/>
        </w:numPr>
        <w:spacing w:after="0"/>
        <w:jc w:val="both"/>
      </w:pPr>
      <w:r w:rsidRPr="00072ED7">
        <w:t xml:space="preserve">Participación ciudadana y Educación Política </w:t>
      </w:r>
    </w:p>
    <w:p w:rsidR="00072ED7" w:rsidRPr="00072ED7" w:rsidRDefault="00072ED7" w:rsidP="005062BB">
      <w:pPr>
        <w:pStyle w:val="Prrafodelista"/>
        <w:spacing w:after="0"/>
        <w:ind w:left="360"/>
        <w:jc w:val="both"/>
      </w:pPr>
    </w:p>
    <w:p w:rsidR="00E7270A" w:rsidRPr="00072ED7" w:rsidRDefault="00E7270A" w:rsidP="005062BB">
      <w:pPr>
        <w:pStyle w:val="Prrafodelista"/>
        <w:spacing w:after="0"/>
        <w:ind w:left="360"/>
        <w:jc w:val="both"/>
      </w:pPr>
      <w:r w:rsidRPr="00072ED7">
        <w:t xml:space="preserve">Como Fundación creemos que el financiamiento y la probidad no son los únicos puntos a considerar para fortalecer la democracia y </w:t>
      </w:r>
      <w:proofErr w:type="spellStart"/>
      <w:r w:rsidRPr="00072ED7">
        <w:t>reencantar</w:t>
      </w:r>
      <w:proofErr w:type="spellEnd"/>
      <w:r w:rsidRPr="00072ED7">
        <w:t xml:space="preserve"> a la ciudadanía con la política.</w:t>
      </w:r>
    </w:p>
    <w:p w:rsidR="00E7270A" w:rsidRPr="00072ED7" w:rsidRDefault="00E7270A" w:rsidP="005062BB">
      <w:pPr>
        <w:pStyle w:val="Prrafodelista"/>
        <w:spacing w:after="0"/>
        <w:ind w:left="360"/>
        <w:jc w:val="both"/>
      </w:pPr>
      <w:r w:rsidRPr="00072ED7">
        <w:t>Creemos que la crisis se acentúa al tener a ciudadanos desinteresados en participar en la política.</w:t>
      </w:r>
    </w:p>
    <w:p w:rsidR="00E7270A" w:rsidRPr="00072ED7" w:rsidRDefault="00E7270A" w:rsidP="005062BB">
      <w:pPr>
        <w:spacing w:after="0"/>
        <w:ind w:left="360"/>
        <w:jc w:val="both"/>
      </w:pPr>
      <w:r w:rsidRPr="00072ED7">
        <w:t xml:space="preserve">La solución está en </w:t>
      </w:r>
      <w:r w:rsidR="00E60A9C" w:rsidRPr="00072ED7">
        <w:t>formar</w:t>
      </w:r>
      <w:r w:rsidRPr="00072ED7">
        <w:t xml:space="preserve"> a los ciudadanos, en </w:t>
      </w:r>
      <w:proofErr w:type="spellStart"/>
      <w:r w:rsidRPr="00072ED7">
        <w:t>reinvindicar</w:t>
      </w:r>
      <w:proofErr w:type="spellEnd"/>
      <w:r w:rsidRPr="00072ED7">
        <w:t xml:space="preserve"> la educación cívica o política en la sociedad. El art. 13 </w:t>
      </w:r>
      <w:r w:rsidR="00A55533">
        <w:t xml:space="preserve">del </w:t>
      </w:r>
      <w:r w:rsidRPr="00072ED7">
        <w:t>Pacto Internacional de Derechos Económicos, Sociales y Culturales señala que “la educación debe capacitar a todas las personas para participar efect</w:t>
      </w:r>
      <w:r w:rsidR="002C0418">
        <w:t>ivamente en una sociedad libre”.</w:t>
      </w:r>
    </w:p>
    <w:p w:rsidR="001F34B5" w:rsidRPr="00072ED7" w:rsidRDefault="00B94EAA" w:rsidP="005062BB">
      <w:pPr>
        <w:spacing w:after="0"/>
        <w:ind w:left="360"/>
        <w:jc w:val="both"/>
      </w:pPr>
      <w:r w:rsidRPr="00072ED7">
        <w:t>Además se debe</w:t>
      </w:r>
      <w:r w:rsidR="00E7270A" w:rsidRPr="00072ED7">
        <w:t xml:space="preserve"> fomen</w:t>
      </w:r>
      <w:r w:rsidR="00342B95">
        <w:t xml:space="preserve">tar la participación ciudadana en diferentes </w:t>
      </w:r>
      <w:r w:rsidR="00E7270A" w:rsidRPr="00072ED7">
        <w:t>nivel</w:t>
      </w:r>
      <w:r w:rsidR="00342B95">
        <w:t>es</w:t>
      </w:r>
      <w:r w:rsidR="00E7270A" w:rsidRPr="00072ED7">
        <w:t xml:space="preserve"> y valorizar a la persona y a la comunidad. </w:t>
      </w:r>
    </w:p>
    <w:p w:rsidR="00B94EAA" w:rsidRPr="00072ED7" w:rsidRDefault="00B94EAA" w:rsidP="005062BB">
      <w:pPr>
        <w:spacing w:after="0"/>
        <w:ind w:left="426"/>
        <w:jc w:val="both"/>
      </w:pPr>
    </w:p>
    <w:p w:rsidR="00E13900" w:rsidRPr="005062BB" w:rsidRDefault="00E13900" w:rsidP="005062BB">
      <w:pPr>
        <w:spacing w:after="0"/>
        <w:ind w:left="360"/>
        <w:jc w:val="both"/>
        <w:rPr>
          <w:b/>
        </w:rPr>
      </w:pPr>
      <w:r w:rsidRPr="005062BB">
        <w:rPr>
          <w:b/>
        </w:rPr>
        <w:t xml:space="preserve">La </w:t>
      </w:r>
      <w:r w:rsidR="00B94EAA" w:rsidRPr="005062BB">
        <w:rPr>
          <w:b/>
        </w:rPr>
        <w:t>fórmula</w:t>
      </w:r>
      <w:r w:rsidRPr="005062BB">
        <w:rPr>
          <w:b/>
        </w:rPr>
        <w:t xml:space="preserve"> </w:t>
      </w:r>
      <w:r w:rsidR="00B94EAA" w:rsidRPr="005062BB">
        <w:rPr>
          <w:b/>
        </w:rPr>
        <w:t xml:space="preserve">para solucionar la crisis no es sólo normativa, es decir, no sólo se va a lograr con un cambio </w:t>
      </w:r>
      <w:r w:rsidR="00072ED7" w:rsidRPr="00072ED7">
        <w:rPr>
          <w:b/>
        </w:rPr>
        <w:t>legislativo</w:t>
      </w:r>
      <w:r w:rsidR="00B94EAA" w:rsidRPr="005062BB">
        <w:rPr>
          <w:b/>
        </w:rPr>
        <w:t xml:space="preserve">, </w:t>
      </w:r>
      <w:r w:rsidRPr="005062BB">
        <w:rPr>
          <w:b/>
        </w:rPr>
        <w:t>sino que requiere de trabajo</w:t>
      </w:r>
      <w:r w:rsidR="00B94EAA" w:rsidRPr="005062BB">
        <w:rPr>
          <w:b/>
        </w:rPr>
        <w:t xml:space="preserve"> </w:t>
      </w:r>
      <w:r w:rsidR="00072ED7" w:rsidRPr="00072ED7">
        <w:rPr>
          <w:b/>
        </w:rPr>
        <w:t xml:space="preserve">directo </w:t>
      </w:r>
      <w:r w:rsidR="00B94EAA" w:rsidRPr="005062BB">
        <w:rPr>
          <w:b/>
        </w:rPr>
        <w:t>con los ciudadanos</w:t>
      </w:r>
      <w:r w:rsidRPr="005062BB">
        <w:rPr>
          <w:b/>
        </w:rPr>
        <w:t>.</w:t>
      </w:r>
    </w:p>
    <w:p w:rsidR="000C0092" w:rsidRPr="00072ED7" w:rsidRDefault="000C0092" w:rsidP="005062BB">
      <w:pPr>
        <w:spacing w:after="0"/>
        <w:jc w:val="both"/>
      </w:pPr>
    </w:p>
    <w:p w:rsidR="000C0092" w:rsidRPr="00072ED7" w:rsidRDefault="00072ED7" w:rsidP="005062BB">
      <w:pPr>
        <w:spacing w:after="0"/>
        <w:jc w:val="both"/>
        <w:rPr>
          <w:u w:val="single"/>
        </w:rPr>
      </w:pPr>
      <w:r w:rsidRPr="00072ED7">
        <w:rPr>
          <w:u w:val="single"/>
        </w:rPr>
        <w:t>P</w:t>
      </w:r>
      <w:r w:rsidR="000C0092" w:rsidRPr="00072ED7">
        <w:rPr>
          <w:u w:val="single"/>
        </w:rPr>
        <w:t xml:space="preserve">reguntas </w:t>
      </w:r>
      <w:r w:rsidRPr="00072ED7">
        <w:rPr>
          <w:u w:val="single"/>
        </w:rPr>
        <w:t xml:space="preserve">de la Comisión (A. </w:t>
      </w:r>
      <w:r w:rsidR="000C0092" w:rsidRPr="00072ED7">
        <w:rPr>
          <w:u w:val="single"/>
        </w:rPr>
        <w:t>Castañón</w:t>
      </w:r>
      <w:r w:rsidRPr="00072ED7">
        <w:rPr>
          <w:u w:val="single"/>
        </w:rPr>
        <w:t>)</w:t>
      </w:r>
    </w:p>
    <w:p w:rsidR="000C0092" w:rsidRPr="00072ED7" w:rsidRDefault="000C0092" w:rsidP="005062BB">
      <w:pPr>
        <w:pStyle w:val="Prrafodelista"/>
        <w:numPr>
          <w:ilvl w:val="0"/>
          <w:numId w:val="6"/>
        </w:numPr>
        <w:spacing w:after="0"/>
        <w:jc w:val="both"/>
        <w:rPr>
          <w:rFonts w:eastAsia="Times New Roman" w:cs="Times New Roman"/>
          <w:i/>
          <w:lang w:eastAsia="es-CL"/>
        </w:rPr>
      </w:pPr>
      <w:r w:rsidRPr="00072ED7">
        <w:rPr>
          <w:rFonts w:eastAsia="Times New Roman" w:cs="Times New Roman"/>
          <w:i/>
          <w:lang w:eastAsia="es-CL"/>
        </w:rPr>
        <w:t>¿Cuál es el rol que jugarán los candidatos desafiantes frente a la nueva forma de financiamiento de campañas?</w:t>
      </w:r>
    </w:p>
    <w:p w:rsidR="002E7CEB" w:rsidRPr="00072ED7" w:rsidRDefault="002E7CEB" w:rsidP="005062BB">
      <w:pPr>
        <w:pStyle w:val="Prrafodelista"/>
        <w:spacing w:after="0"/>
        <w:jc w:val="both"/>
        <w:rPr>
          <w:rFonts w:eastAsia="Times New Roman" w:cs="Times New Roman"/>
          <w:lang w:eastAsia="es-CL"/>
        </w:rPr>
      </w:pPr>
      <w:r w:rsidRPr="00072ED7">
        <w:rPr>
          <w:rFonts w:eastAsia="Times New Roman" w:cs="Times New Roman"/>
          <w:lang w:eastAsia="es-CL"/>
        </w:rPr>
        <w:t xml:space="preserve">El marco regulatorio debería propender a una mayor igualdad de armas entre desafiantes e </w:t>
      </w:r>
      <w:proofErr w:type="spellStart"/>
      <w:r w:rsidRPr="00072ED7">
        <w:rPr>
          <w:rFonts w:eastAsia="Times New Roman" w:cs="Times New Roman"/>
          <w:lang w:eastAsia="es-CL"/>
        </w:rPr>
        <w:t>incumbentes</w:t>
      </w:r>
      <w:proofErr w:type="spellEnd"/>
      <w:r w:rsidRPr="00072ED7">
        <w:rPr>
          <w:rFonts w:eastAsia="Times New Roman" w:cs="Times New Roman"/>
          <w:lang w:eastAsia="es-CL"/>
        </w:rPr>
        <w:t xml:space="preserve">. Se parte de la base que el </w:t>
      </w:r>
      <w:proofErr w:type="spellStart"/>
      <w:r w:rsidRPr="00072ED7">
        <w:rPr>
          <w:rFonts w:eastAsia="Times New Roman" w:cs="Times New Roman"/>
          <w:lang w:eastAsia="es-CL"/>
        </w:rPr>
        <w:t>incumbente</w:t>
      </w:r>
      <w:proofErr w:type="spellEnd"/>
      <w:r w:rsidRPr="00072ED7">
        <w:rPr>
          <w:rFonts w:eastAsia="Times New Roman" w:cs="Times New Roman"/>
          <w:lang w:eastAsia="es-CL"/>
        </w:rPr>
        <w:t xml:space="preserve"> tiene muchos más medios, y no todos son monetarios (presencia en los medios, “recordación de nombre”, </w:t>
      </w:r>
      <w:proofErr w:type="spellStart"/>
      <w:r w:rsidRPr="00072ED7">
        <w:rPr>
          <w:rFonts w:eastAsia="Times New Roman" w:cs="Times New Roman"/>
          <w:lang w:eastAsia="es-CL"/>
        </w:rPr>
        <w:t>etc</w:t>
      </w:r>
      <w:proofErr w:type="spellEnd"/>
      <w:r w:rsidRPr="00072ED7">
        <w:rPr>
          <w:rFonts w:eastAsia="Times New Roman" w:cs="Times New Roman"/>
          <w:lang w:eastAsia="es-CL"/>
        </w:rPr>
        <w:t>). La regulación debería apuntar a hacerse cargo de esa realidad, promoviendo la creatividad en las campañas y a reducir la brecha de acceso a los distintos recursos, monetarios o no, que tengan los candidatos.</w:t>
      </w:r>
    </w:p>
    <w:p w:rsidR="000C0092" w:rsidRPr="00072ED7" w:rsidRDefault="000C0092" w:rsidP="005062BB">
      <w:pPr>
        <w:pStyle w:val="Prrafodelista"/>
        <w:numPr>
          <w:ilvl w:val="0"/>
          <w:numId w:val="6"/>
        </w:numPr>
        <w:spacing w:after="0"/>
        <w:jc w:val="both"/>
        <w:rPr>
          <w:rFonts w:eastAsia="Times New Roman" w:cs="Times New Roman"/>
          <w:i/>
          <w:lang w:eastAsia="es-CL"/>
        </w:rPr>
      </w:pPr>
      <w:r w:rsidRPr="00072ED7">
        <w:rPr>
          <w:rFonts w:eastAsia="Times New Roman" w:cs="Times New Roman"/>
          <w:i/>
          <w:lang w:eastAsia="es-CL"/>
        </w:rPr>
        <w:lastRenderedPageBreak/>
        <w:t>¿Cómo podrán irrumpir los pequeños partidos, partidos nuevos y partidos regionales en este nuevo escenario?</w:t>
      </w:r>
    </w:p>
    <w:p w:rsidR="002E7CEB" w:rsidRPr="00072ED7" w:rsidRDefault="002E7CEB" w:rsidP="005062BB">
      <w:pPr>
        <w:pStyle w:val="Prrafodelista"/>
        <w:spacing w:after="0"/>
        <w:jc w:val="both"/>
        <w:rPr>
          <w:rFonts w:eastAsia="Times New Roman" w:cs="Times New Roman"/>
          <w:lang w:eastAsia="es-CL"/>
        </w:rPr>
      </w:pPr>
      <w:r w:rsidRPr="00072ED7">
        <w:rPr>
          <w:rFonts w:eastAsia="Times New Roman" w:cs="Times New Roman"/>
          <w:lang w:eastAsia="es-CL"/>
        </w:rPr>
        <w:t xml:space="preserve">Parte del financiamiento permanente, por ejemplo un 10%, debería ir a todo partido, por el solo </w:t>
      </w:r>
      <w:r w:rsidR="00BB22A4" w:rsidRPr="00072ED7">
        <w:rPr>
          <w:rFonts w:eastAsia="Times New Roman" w:cs="Times New Roman"/>
          <w:lang w:eastAsia="es-CL"/>
        </w:rPr>
        <w:t>hecho</w:t>
      </w:r>
      <w:r w:rsidRPr="00072ED7">
        <w:rPr>
          <w:rFonts w:eastAsia="Times New Roman" w:cs="Times New Roman"/>
          <w:lang w:eastAsia="es-CL"/>
        </w:rPr>
        <w:t xml:space="preserve"> de constituirse como tal. Esto no es raro en la experiencia comparada. Además, el Estado podría subsidiar, o dar un aporte “espejo” por cada aporte individual, permanente, y pequeño, que se haga a los partidos, promoviendo que su financiamiento este preferentemente basado en muchos aportes pequeños antes que cuantiosas sumas de grandes donantes.</w:t>
      </w:r>
    </w:p>
    <w:p w:rsidR="0070008E" w:rsidRPr="00072ED7" w:rsidRDefault="0070008E" w:rsidP="005062BB">
      <w:pPr>
        <w:spacing w:after="0"/>
        <w:jc w:val="both"/>
      </w:pPr>
    </w:p>
    <w:sectPr w:rsidR="0070008E" w:rsidRPr="00072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38" w:rsidRDefault="00164838" w:rsidP="00025405">
      <w:pPr>
        <w:spacing w:after="0" w:line="240" w:lineRule="auto"/>
      </w:pPr>
      <w:r>
        <w:separator/>
      </w:r>
    </w:p>
  </w:endnote>
  <w:endnote w:type="continuationSeparator" w:id="0">
    <w:p w:rsidR="00164838" w:rsidRDefault="00164838" w:rsidP="0002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38" w:rsidRDefault="00164838" w:rsidP="00025405">
      <w:pPr>
        <w:spacing w:after="0" w:line="240" w:lineRule="auto"/>
      </w:pPr>
      <w:r>
        <w:separator/>
      </w:r>
    </w:p>
  </w:footnote>
  <w:footnote w:type="continuationSeparator" w:id="0">
    <w:p w:rsidR="00164838" w:rsidRDefault="00164838" w:rsidP="0002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169"/>
    <w:multiLevelType w:val="hybridMultilevel"/>
    <w:tmpl w:val="44EA542E"/>
    <w:lvl w:ilvl="0" w:tplc="D49E5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76E0A"/>
    <w:multiLevelType w:val="hybridMultilevel"/>
    <w:tmpl w:val="841CB6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5C89"/>
    <w:multiLevelType w:val="hybridMultilevel"/>
    <w:tmpl w:val="68842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2C7B"/>
    <w:multiLevelType w:val="hybridMultilevel"/>
    <w:tmpl w:val="9B14DAAC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506556"/>
    <w:multiLevelType w:val="hybridMultilevel"/>
    <w:tmpl w:val="43C07384"/>
    <w:lvl w:ilvl="0" w:tplc="DB9474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01056B"/>
    <w:multiLevelType w:val="hybridMultilevel"/>
    <w:tmpl w:val="523E875C"/>
    <w:lvl w:ilvl="0" w:tplc="E9563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4A"/>
    <w:rsid w:val="00025405"/>
    <w:rsid w:val="00063942"/>
    <w:rsid w:val="00072ED7"/>
    <w:rsid w:val="000C0092"/>
    <w:rsid w:val="00164838"/>
    <w:rsid w:val="001A1604"/>
    <w:rsid w:val="001F34B5"/>
    <w:rsid w:val="00262BE1"/>
    <w:rsid w:val="00291A80"/>
    <w:rsid w:val="002C0418"/>
    <w:rsid w:val="002E7CEB"/>
    <w:rsid w:val="00342B95"/>
    <w:rsid w:val="005062BB"/>
    <w:rsid w:val="00517FB0"/>
    <w:rsid w:val="005D4895"/>
    <w:rsid w:val="00681CD1"/>
    <w:rsid w:val="0070008E"/>
    <w:rsid w:val="009068D7"/>
    <w:rsid w:val="00A16408"/>
    <w:rsid w:val="00A55533"/>
    <w:rsid w:val="00AA2BC0"/>
    <w:rsid w:val="00B94EAA"/>
    <w:rsid w:val="00BB22A4"/>
    <w:rsid w:val="00BE6F69"/>
    <w:rsid w:val="00DE7E4B"/>
    <w:rsid w:val="00E13900"/>
    <w:rsid w:val="00E60A9C"/>
    <w:rsid w:val="00E7270A"/>
    <w:rsid w:val="00E7534A"/>
    <w:rsid w:val="00E8048E"/>
    <w:rsid w:val="00F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34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54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54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540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4B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04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04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04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04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04B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1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34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54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54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540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4B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04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04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04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04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04B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1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E22F-2248-42EF-8241-00960C5A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Pizarro González</dc:creator>
  <cp:lastModifiedBy>Pedro Pizarro González</cp:lastModifiedBy>
  <cp:revision>3</cp:revision>
  <dcterms:created xsi:type="dcterms:W3CDTF">2015-04-15T17:56:00Z</dcterms:created>
  <dcterms:modified xsi:type="dcterms:W3CDTF">2015-04-15T18:42:00Z</dcterms:modified>
</cp:coreProperties>
</file>